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5"/>
    <w:p>
      <w:pPr>
        <w:pStyle w:val="Heading1"/>
      </w:pPr>
      <w:r>
        <w:t xml:space="preserve">Homiletics Analysis: Psalms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15 is a brief but structurally complete wisdom psalm composed as a liturgical entrance inquiry. The psalm opens with a direct question posed to God: who may dwell on His holy mountain, who may sojourn in His tent? The remainder of the psalm answers this question through a portrait of the person whose life qualifies for intimate access to God. The portrait moves through moral integrity (walking blamelessly, working righteousness, speaking truth from the heart), relational integrity (no slander, no harm to neighbors, no reproach against the godly), covenantal integrity (honoring those who fear the LORD, despising the vile, keeping oaths even at personal cost), and economic integrity (refusing to lend at interest, refusing bribes against the innocent). The psalm closes with a declaration of permanence: the one who does these things shall never be moved.</w:t>
      </w:r>
    </w:p>
    <w:p>
      <w:pPr>
        <w:pStyle w:val="BodyText"/>
      </w:pPr>
      <w:r>
        <w:t xml:space="preserve">The psalm does not present these characteristics as a ladder to climb but as a portrait to recognize — and, under the weight of the whole canon, a portrait that convicts as much as it describes.</w:t>
      </w:r>
    </w:p>
    <w:p>
      <w:pPr>
        <w:pStyle w:val="BodyText"/>
      </w:pPr>
      <w:r>
        <w:rPr>
          <w:b/>
          <w:bCs/>
        </w:rPr>
        <w:t xml:space="preserve">This Text — Intent</w:t>
      </w:r>
    </w:p>
    <w:p>
      <w:pPr>
        <w:pStyle w:val="BodyText"/>
      </w:pPr>
      <w:r>
        <w:t xml:space="preserve">God’s intent through this psalm is to confront His people with the moral seriousness of covenant access. The invitation to dwell with God is not generic or unconditional. The psalm presses the reader toward self-examination: Do I actually live this way? Is my speech, my treatment of neighbors, my financial conduct, my handling of promises consistent with what access to a holy God requires? The deeper intent is not to provide a checklist for self-justification but to create a felt sense of the gulf between what covenant nearness demands and what sinful human beings deliver — thereby driving the reader toward grace, toward the One who alone perfectly embodies this portrait, and toward the Spirit-empowered life that begins to reflect it. The effect God seeks is holy sobriety: the reader takes both God’s holiness and their own moral condition with full seriousness.</w:t>
      </w:r>
    </w:p>
    <w:p>
      <w:r>
        <w:pict>
          <v:rect style="width:0;height:1.5pt" o:hralign="center" o:hrstd="t" o:hr="t"/>
        </w:pict>
      </w:r>
    </w:p>
    <w:p>
      <w:pPr>
        <w:pStyle w:val="FirstParagraph"/>
      </w:pPr>
      <w:r>
        <w:rPr>
          <w:b/>
          <w:bCs/>
        </w:rPr>
        <w:t xml:space="preserve">Subject Sentence:</w:t>
      </w:r>
      <w:r>
        <w:t xml:space="preserve"> </w:t>
      </w:r>
      <w:r>
        <w:t xml:space="preserve">Covenant access to God requires the integrity that only grace can produce.</w:t>
      </w:r>
    </w:p>
    <w:p>
      <w:r>
        <w:pict>
          <v:rect style="width:0;height:1.5pt" o:hralign="center" o:hrstd="t" o:hr="t"/>
        </w:pict>
      </w:r>
    </w:p>
    <w:p>
      <w:pPr>
        <w:pStyle w:val="FirstParagraph"/>
      </w:pPr>
      <w:r>
        <w:rPr>
          <w:b/>
          <w:bCs/>
        </w:rPr>
        <w:t xml:space="preserve">Primary Claim:</w:t>
      </w:r>
      <w:r>
        <w:t xml:space="preserve"> </w:t>
      </w:r>
      <w:r>
        <w:t xml:space="preserve">God confronts His people with the moral portrait of those who dwell with Him — not to offer a self-justification ladder, but to press them toward holy self-examination, to expose the gap that only Christ closes, and to call them to the integrity that genuine covenant life produces.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moralistic reading — treat with caution, partially qualify, partially refute</w:t>
      </w:r>
    </w:p>
    <w:p>
      <w:pPr>
        <w:pStyle w:val="BodyText"/>
      </w:pPr>
      <w:r>
        <w:t xml:space="preserve">The most common misreading of Psalm 15 is a straightforward moralistic one: here is a list of virtues; attain them and you will be in good standing with God. This reading is found across traditions — it appears in popular evangelical teaching, in Catholic moral theology, and in Jewish interpretive tradition where the psalm is read as a summary of the righteous life (the Talmudic tradition reducing the 613 commandments to David’s eleven, then to fewer, is suggestive of this use). The moralistic reading is not entirely without warrant — the psalm genuinely does describe moral conduct, and that description is not decorative. God does care how His people live. The conduct described here is not arbitrary: it flows from what covenant loyalty to a holy God actually looks like in human life. Acknowledge: the ethical content is real and must be preached.</w:t>
      </w:r>
    </w:p>
    <w:p>
      <w:pPr>
        <w:pStyle w:val="BodyText"/>
      </w:pPr>
      <w:r>
        <w:t xml:space="preserve">However, the moralistic reading fails at three points. First, it reads the psalm in isolation from Israel’s own history of failure, in which even the most devoted figures (David himself, who likely authored this psalm) could not sustain the portrait described. Second, it ignores the entrance-liturgy genre: this is not a self-certification form but a covenantal mirror — held up so that worshippers see themselves, not so that they check the boxes and proceed without examination. Third, it produces precisely the error Clowney and Keller both warn against: behavioral application without gospel grounding, producing either self-righteous pride ("I mostly do these things") or despair ("I clearly do not"). Refute: the psalm cannot be reduced to a virtue checklist.</w:t>
      </w:r>
    </w:p>
    <w:p>
      <w:pPr>
        <w:pStyle w:val="BodyText"/>
      </w:pPr>
      <w:r>
        <w:rPr>
          <w:b/>
          <w:bCs/>
        </w:rPr>
        <w:t xml:space="preserve">The Lutheran Law/Gospel reading — acknowledge and build upon</w:t>
      </w:r>
    </w:p>
    <w:p>
      <w:pPr>
        <w:pStyle w:val="BodyText"/>
      </w:pPr>
      <w:r>
        <w:t xml:space="preserve">Lutheran interpreters rightly read this psalm as a Law text in its primary function: it exposes the human condition of moral failure before a holy God and drives the reader toward the gospel. This reading correctly identifies the psalm’s convicting power and guards against moralism. The weakness of a strict Law/Gospel application is that it can leave the psalm’s positive portrait underdeveloped — as if the only function of the conduct described is to condemn. The Reformed reading holds both: the psalm exposes the gap</w:t>
      </w:r>
      <w:r>
        <w:t xml:space="preserve"> </w:t>
      </w:r>
      <w:r>
        <w:rPr>
          <w:i/>
          <w:iCs/>
        </w:rPr>
        <w:t xml:space="preserve">and</w:t>
      </w:r>
      <w:r>
        <w:t xml:space="preserve"> </w:t>
      </w:r>
      <w:r>
        <w:t xml:space="preserve">describes, proleptically, the life that grace produces. Qualify: the convicting function is primary, but the positive portrait of renewed covenant life is not merely Law — it is also a description of what Spirit-worked integrity looks like.</w:t>
      </w:r>
    </w:p>
    <w:p>
      <w:pPr>
        <w:pStyle w:val="BodyText"/>
      </w:pPr>
      <w:r>
        <w:rPr>
          <w:b/>
          <w:bCs/>
        </w:rPr>
        <w:t xml:space="preserve">The Christological reading — affirm and anchor</w:t>
      </w:r>
    </w:p>
    <w:p>
      <w:pPr>
        <w:pStyle w:val="BodyText"/>
      </w:pPr>
      <w:r>
        <w:t xml:space="preserve">Several Reformed interpreters (Spurgeon, Kidner, Wilcock) rightly note that Christ alone perfectly fulfills this portrait. He alone walked blamelessly. He alone never wavered in oath even at the cost of His life. He alone refused every form of injustice in His dealings with others. The Christological reading does not evacuate the psalm’s ethical demand — it grounds it. Because the believer is united to the One who perfectly fulfills this portrait, the portrait becomes both a description of Christ</w:t>
      </w:r>
      <w:r>
        <w:t xml:space="preserve"> </w:t>
      </w:r>
      <w:r>
        <w:rPr>
          <w:i/>
          <w:iCs/>
        </w:rPr>
        <w:t xml:space="preserve">for</w:t>
      </w:r>
      <w:r>
        <w:t xml:space="preserve"> </w:t>
      </w:r>
      <w:r>
        <w:t xml:space="preserve">us (justification) and a description of the life we are being conformed into</w:t>
      </w:r>
      <w:r>
        <w:t xml:space="preserve"> </w:t>
      </w:r>
      <w:r>
        <w:rPr>
          <w:i/>
          <w:iCs/>
        </w:rPr>
        <w:t xml:space="preserve">in</w:t>
      </w:r>
      <w:r>
        <w:t xml:space="preserve"> </w:t>
      </w:r>
      <w:r>
        <w:t xml:space="preserve">Him (sanctification). This is the Reformed reading that best accounts for the whole text: it preserves the ethical seriousness, grounds it in gospel, and avoids both moralism and antinomianism.</w:t>
      </w:r>
    </w:p>
    <w:p>
      <w:pPr>
        <w:pStyle w:val="BodyText"/>
      </w:pPr>
      <w:r>
        <w:rPr>
          <w:b/>
          <w:bCs/>
        </w:rPr>
        <w:t xml:space="preserve">Conclusion — Reformed verdict</w:t>
      </w:r>
      <w:r>
        <w:t xml:space="preserve">: Psalm 15 functions simultaneously as a convicting mirror (exposing the gap between what covenant access requires and what sinners deliver), a Christological portrait (describing the One who alone perfectly qualifies and who qualifies us in Him), and a sanctification description (what Spirit-wrought integrity begins to look like in the covenant community). Exposition must hold all three without collapsing any one into the others.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24:3-6</w:t>
      </w:r>
      <w:r>
        <w:t xml:space="preserve"> </w:t>
      </w:r>
      <w:r>
        <w:t xml:space="preserve">— The near-parallel entrance liturgy:</w:t>
      </w:r>
      <w:r>
        <w:t xml:space="preserve"> </w:t>
      </w:r>
      <w:r>
        <w:t xml:space="preserve">“Who shall ascend the hill of the LORD?”</w:t>
      </w:r>
      <w:r>
        <w:t xml:space="preserve"> </w:t>
      </w:r>
      <w:r>
        <w:t xml:space="preserve">answered with a similar moral portrait, and climaxing in the arrival of the King of Glory — grounding the access question in Christ’s own triumphant entry.</w:t>
      </w:r>
    </w:p>
    <w:p>
      <w:pPr>
        <w:numPr>
          <w:ilvl w:val="0"/>
          <w:numId w:val="1001"/>
        </w:numPr>
      </w:pPr>
      <w:r>
        <w:rPr>
          <w:b/>
          <w:bCs/>
        </w:rPr>
        <w:t xml:space="preserve">Isaiah 33:14-16</w:t>
      </w:r>
      <w:r>
        <w:t xml:space="preserve"> </w:t>
      </w:r>
      <w:r>
        <w:t xml:space="preserve">—</w:t>
      </w:r>
      <w:r>
        <w:t xml:space="preserve"> </w:t>
      </w:r>
      <w:r>
        <w:t xml:space="preserve">“Who among us can dwell with the consuming fire?”</w:t>
      </w:r>
      <w:r>
        <w:t xml:space="preserve"> </w:t>
      </w:r>
      <w:r>
        <w:t xml:space="preserve">answered with a similar description of moral and social integrity, reinforcing that proximity to a holy God is not casual or unconditional, and that the question is meant to convict as much as to describe.</w:t>
      </w:r>
    </w:p>
    <w:p>
      <w:pPr>
        <w:numPr>
          <w:ilvl w:val="0"/>
          <w:numId w:val="1001"/>
        </w:numPr>
      </w:pPr>
      <w:r>
        <w:rPr>
          <w:b/>
          <w:bCs/>
        </w:rPr>
        <w:t xml:space="preserve">Matthew 5:1-12 (Beatitudes)</w:t>
      </w:r>
      <w:r>
        <w:t xml:space="preserve"> </w:t>
      </w:r>
      <w:r>
        <w:t xml:space="preserve">— Jesus’ own portrait of the Kingdom citizen, which both intensifies and reframes the Psalm 15 portrait: the one who mourns their own poverty of spirit, who hungers and thirsts for righteousness — not one who self-certifies but one who knows their need.</w:t>
      </w:r>
    </w:p>
    <w:p>
      <w:pPr>
        <w:numPr>
          <w:ilvl w:val="0"/>
          <w:numId w:val="1001"/>
        </w:numPr>
      </w:pPr>
      <w:r>
        <w:rPr>
          <w:b/>
          <w:bCs/>
        </w:rPr>
        <w:t xml:space="preserve">Romans 3:10-18</w:t>
      </w:r>
      <w:r>
        <w:t xml:space="preserve"> </w:t>
      </w:r>
      <w:r>
        <w:t xml:space="preserve">— Paul’s indictment that</w:t>
      </w:r>
      <w:r>
        <w:t xml:space="preserve"> </w:t>
      </w:r>
      <w:r>
        <w:t xml:space="preserve">“none is righteous, no, not one”</w:t>
      </w:r>
      <w:r>
        <w:t xml:space="preserve"> </w:t>
      </w:r>
      <w:r>
        <w:t xml:space="preserve">— drawing heavily on the Psalms — establishes that no sinful human being natively meets the Psalm 15 portrait; this canonical anchor prevents any moralistic reading of the psalm.</w:t>
      </w:r>
    </w:p>
    <w:p>
      <w:pPr>
        <w:numPr>
          <w:ilvl w:val="0"/>
          <w:numId w:val="1001"/>
        </w:numPr>
      </w:pPr>
      <w:r>
        <w:rPr>
          <w:b/>
          <w:bCs/>
        </w:rPr>
        <w:t xml:space="preserve">1 Peter 1:14-16 / 2:9-12</w:t>
      </w:r>
      <w:r>
        <w:t xml:space="preserve"> </w:t>
      </w:r>
      <w:r>
        <w:t xml:space="preserve">— Peter’s call to the covenant community to</w:t>
      </w:r>
      <w:r>
        <w:t xml:space="preserve"> </w:t>
      </w:r>
      <w:r>
        <w:t xml:space="preserve">“be holy, for I am holy”</w:t>
      </w:r>
      <w:r>
        <w:t xml:space="preserve"> </w:t>
      </w:r>
      <w:r>
        <w:t xml:space="preserve">and to live as a royal priesthood — the New Testament counterpart to Psalm 15’s entrance requirement, now grounded in the identity believers have received in Christ.</w:t>
      </w:r>
    </w:p>
    <w:p>
      <w:r>
        <w:pict>
          <v:rect style="width:0;height:1.5pt" o:hralign="center" o:hrstd="t" o:hr="t"/>
        </w:pict>
      </w:r>
    </w:p>
    <w:p>
      <w:pPr>
        <w:pStyle w:val="FirstParagraph"/>
      </w:pPr>
      <w:r>
        <w:rPr>
          <w:b/>
          <w:bCs/>
        </w:rPr>
        <w:t xml:space="preserve">Aim:</w:t>
      </w:r>
      <w:r>
        <w:t xml:space="preserve"> </w:t>
      </w:r>
      <w:r>
        <w:t xml:space="preserve">To press the reader into genuine moral self-examination before a holy God, to expose the gap that only Christ closes, and to call the covenant community toward the Spirit-empowered integrity that genuine nearness to God both requires and produces.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entrance question: Who may sojourn in the LORD’s tent? Who may dwell on His holy mountain?</w:t>
            </w:r>
          </w:p>
        </w:tc>
        <w:tc>
          <w:tcPr/>
          <w:p>
            <w:pPr>
              <w:pStyle w:val="Compact"/>
            </w:pPr>
            <w:r>
              <w:t xml:space="preserve">Liturgical inquiry — likely posed at the gate of the sanctuary.</w:t>
            </w:r>
            <w:r>
              <w:t xml:space="preserve"> </w:t>
            </w:r>
            <w:r>
              <w:t xml:space="preserve">“Tent”</w:t>
            </w:r>
            <w:r>
              <w:t xml:space="preserve"> </w:t>
            </w:r>
            <w:r>
              <w:t xml:space="preserve">and</w:t>
            </w:r>
            <w:r>
              <w:t xml:space="preserve"> </w:t>
            </w:r>
            <w:r>
              <w:t xml:space="preserve">“holy mountain”</w:t>
            </w:r>
            <w:r>
              <w:t xml:space="preserve"> </w:t>
            </w:r>
            <w:r>
              <w:t xml:space="preserve">are parallel terms for God’s dwelling place. The question is personal and direct.</w:t>
            </w:r>
          </w:p>
        </w:tc>
      </w:tr>
      <w:tr>
        <w:tc>
          <w:tcPr/>
          <w:p>
            <w:pPr>
              <w:pStyle w:val="Compact"/>
            </w:pPr>
            <w:r>
              <w:t xml:space="preserve">2</w:t>
            </w:r>
          </w:p>
        </w:tc>
        <w:tc>
          <w:tcPr/>
          <w:p>
            <w:pPr>
              <w:pStyle w:val="Compact"/>
            </w:pPr>
            <w:r>
              <w:t xml:space="preserve">Walks blamelessly; works righteousness; speaks truth in his heart</w:t>
            </w:r>
          </w:p>
        </w:tc>
        <w:tc>
          <w:tcPr/>
          <w:p>
            <w:pPr>
              <w:pStyle w:val="Compact"/>
            </w:pPr>
            <w:r>
              <w:t xml:space="preserve">Three general character qualities — the opening portrait is internal before it is behavioral.</w:t>
            </w:r>
            <w:r>
              <w:t xml:space="preserve"> </w:t>
            </w:r>
            <w:r>
              <w:t xml:space="preserve">“Truth in his heart”</w:t>
            </w:r>
            <w:r>
              <w:t xml:space="preserve"> </w:t>
            </w:r>
            <w:r>
              <w:t xml:space="preserve">signals that outward conformity without inward reality does not qualify.</w:t>
            </w:r>
          </w:p>
        </w:tc>
      </w:tr>
      <w:tr>
        <w:tc>
          <w:tcPr/>
          <w:p>
            <w:pPr>
              <w:pStyle w:val="Compact"/>
            </w:pPr>
            <w:r>
              <w:t xml:space="preserve">3</w:t>
            </w:r>
          </w:p>
        </w:tc>
        <w:tc>
          <w:tcPr/>
          <w:p>
            <w:pPr>
              <w:pStyle w:val="Compact"/>
            </w:pPr>
            <w:r>
              <w:t xml:space="preserve">Does not slander; does no evil to a neighbor; does not take up a reproach against a friend</w:t>
            </w:r>
          </w:p>
        </w:tc>
        <w:tc>
          <w:tcPr/>
          <w:p>
            <w:pPr>
              <w:pStyle w:val="Compact"/>
            </w:pPr>
            <w:r>
              <w:t xml:space="preserve">Speech and relational conduct. Slander, harm, and reproach are all forms of social violence. The qualified person actively refuses them.</w:t>
            </w:r>
          </w:p>
        </w:tc>
      </w:tr>
      <w:tr>
        <w:tc>
          <w:tcPr/>
          <w:p>
            <w:pPr>
              <w:pStyle w:val="Compact"/>
            </w:pPr>
            <w:r>
              <w:t xml:space="preserve">4a</w:t>
            </w:r>
          </w:p>
        </w:tc>
        <w:tc>
          <w:tcPr/>
          <w:p>
            <w:pPr>
              <w:pStyle w:val="Compact"/>
            </w:pPr>
            <w:r>
              <w:t xml:space="preserve">Despises the vile; honors those who fear the LORD</w:t>
            </w:r>
          </w:p>
        </w:tc>
        <w:tc>
          <w:tcPr/>
          <w:p>
            <w:pPr>
              <w:pStyle w:val="Compact"/>
            </w:pPr>
            <w:r>
              <w:t xml:space="preserve">Moral discernment in social affiliation — not neutral toward wickedness, not impressed by worldly status. Allegiance tracks the character of others, not their power.</w:t>
            </w:r>
          </w:p>
        </w:tc>
      </w:tr>
      <w:tr>
        <w:tc>
          <w:tcPr/>
          <w:p>
            <w:pPr>
              <w:pStyle w:val="Compact"/>
            </w:pPr>
            <w:r>
              <w:t xml:space="preserve">4b</w:t>
            </w:r>
          </w:p>
        </w:tc>
        <w:tc>
          <w:tcPr/>
          <w:p>
            <w:pPr>
              <w:pStyle w:val="Compact"/>
            </w:pPr>
            <w:r>
              <w:t xml:space="preserve">Who swears to his own hurt and does not change</w:t>
            </w:r>
          </w:p>
        </w:tc>
        <w:tc>
          <w:tcPr/>
          <w:p>
            <w:pPr>
              <w:pStyle w:val="Compact"/>
            </w:pPr>
            <w:r>
              <w:t xml:space="preserve">Oath-keeping even at personal cost. This single quality receives emphasis by its specificity — the promise that becomes costly is still kept.</w:t>
            </w:r>
          </w:p>
        </w:tc>
      </w:tr>
      <w:tr>
        <w:tc>
          <w:tcPr/>
          <w:p>
            <w:pPr>
              <w:pStyle w:val="Compact"/>
            </w:pPr>
            <w:r>
              <w:t xml:space="preserve">5a</w:t>
            </w:r>
          </w:p>
        </w:tc>
        <w:tc>
          <w:tcPr/>
          <w:p>
            <w:pPr>
              <w:pStyle w:val="Compact"/>
            </w:pPr>
            <w:r>
              <w:t xml:space="preserve">Does not put out money at interest; does not take a bribe against the innocent</w:t>
            </w:r>
          </w:p>
        </w:tc>
        <w:tc>
          <w:tcPr/>
          <w:p>
            <w:pPr>
              <w:pStyle w:val="Compact"/>
            </w:pPr>
            <w:r>
              <w:t xml:space="preserve">Economic integrity — no exploitation of the vulnerable through usury, no corruption of justice through bribery.</w:t>
            </w:r>
          </w:p>
        </w:tc>
      </w:tr>
      <w:tr>
        <w:tc>
          <w:tcPr/>
          <w:p>
            <w:pPr>
              <w:pStyle w:val="Compact"/>
            </w:pPr>
            <w:r>
              <w:t xml:space="preserve">5b</w:t>
            </w:r>
          </w:p>
        </w:tc>
        <w:tc>
          <w:tcPr/>
          <w:p>
            <w:pPr>
              <w:pStyle w:val="Compact"/>
            </w:pPr>
            <w:r>
              <w:t xml:space="preserve">He who does these things shall never be moved</w:t>
            </w:r>
          </w:p>
        </w:tc>
        <w:tc>
          <w:tcPr/>
          <w:p>
            <w:pPr>
              <w:pStyle w:val="Compact"/>
            </w:pPr>
            <w:r>
              <w:t xml:space="preserve">The closing declaration: covenant stability is the fruit of covenant integrity. The verb</w:t>
            </w:r>
            <w:r>
              <w:t xml:space="preserve"> </w:t>
            </w:r>
            <w:r>
              <w:t xml:space="preserve">“moved”</w:t>
            </w:r>
            <w:r>
              <w:t xml:space="preserve"> </w:t>
            </w:r>
            <w:r>
              <w:t xml:space="preserve">echoes the security language elsewhere in the Psalms — unmovable because grounded in the LORD.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Entrance Question: Who May Draw Near?</w:t>
            </w:r>
          </w:p>
        </w:tc>
      </w:tr>
      <w:tr>
        <w:tc>
          <w:tcPr/>
          <w:p>
            <w:pPr>
              <w:pStyle w:val="Compact"/>
            </w:pPr>
            <w:r>
              <w:t xml:space="preserve">2</w:t>
            </w:r>
          </w:p>
        </w:tc>
        <w:tc>
          <w:tcPr/>
          <w:p>
            <w:pPr>
              <w:pStyle w:val="Compact"/>
            </w:pPr>
            <w:r>
              <w:t xml:space="preserve">2-5a</w:t>
            </w:r>
          </w:p>
        </w:tc>
        <w:tc>
          <w:tcPr/>
          <w:p>
            <w:pPr>
              <w:pStyle w:val="Compact"/>
            </w:pPr>
            <w:r>
              <w:t xml:space="preserve">The Portrait of the One Who Qualifies</w:t>
            </w:r>
          </w:p>
        </w:tc>
      </w:tr>
      <w:tr>
        <w:tc>
          <w:tcPr/>
          <w:p>
            <w:pPr>
              <w:pStyle w:val="Compact"/>
            </w:pPr>
            <w:r>
              <w:t xml:space="preserve">2a</w:t>
            </w:r>
          </w:p>
        </w:tc>
        <w:tc>
          <w:tcPr/>
          <w:p>
            <w:pPr>
              <w:pStyle w:val="Compact"/>
            </w:pPr>
            <w:r>
              <w:t xml:space="preserve">2</w:t>
            </w:r>
          </w:p>
        </w:tc>
        <w:tc>
          <w:tcPr/>
          <w:p>
            <w:pPr>
              <w:pStyle w:val="Compact"/>
            </w:pPr>
            <w:r>
              <w:t xml:space="preserve">Character from the Inside Out: Walk, Work, Word</w:t>
            </w:r>
          </w:p>
        </w:tc>
      </w:tr>
      <w:tr>
        <w:tc>
          <w:tcPr/>
          <w:p>
            <w:pPr>
              <w:pStyle w:val="Compact"/>
            </w:pPr>
            <w:r>
              <w:t xml:space="preserve">2b</w:t>
            </w:r>
          </w:p>
        </w:tc>
        <w:tc>
          <w:tcPr/>
          <w:p>
            <w:pPr>
              <w:pStyle w:val="Compact"/>
            </w:pPr>
            <w:r>
              <w:t xml:space="preserve">3-4</w:t>
            </w:r>
          </w:p>
        </w:tc>
        <w:tc>
          <w:tcPr/>
          <w:p>
            <w:pPr>
              <w:pStyle w:val="Compact"/>
            </w:pPr>
            <w:r>
              <w:t xml:space="preserve">Integrity in Relationships: Speech, Loyalty, Oaths</w:t>
            </w:r>
          </w:p>
        </w:tc>
      </w:tr>
      <w:tr>
        <w:tc>
          <w:tcPr/>
          <w:p>
            <w:pPr>
              <w:pStyle w:val="Compact"/>
            </w:pPr>
            <w:r>
              <w:t xml:space="preserve">2c</w:t>
            </w:r>
          </w:p>
        </w:tc>
        <w:tc>
          <w:tcPr/>
          <w:p>
            <w:pPr>
              <w:pStyle w:val="Compact"/>
            </w:pPr>
            <w:r>
              <w:t xml:space="preserve">5a</w:t>
            </w:r>
          </w:p>
        </w:tc>
        <w:tc>
          <w:tcPr/>
          <w:p>
            <w:pPr>
              <w:pStyle w:val="Compact"/>
            </w:pPr>
            <w:r>
              <w:t xml:space="preserve">Integrity in Commerce: Money and Justice</w:t>
            </w:r>
          </w:p>
        </w:tc>
      </w:tr>
      <w:tr>
        <w:tc>
          <w:tcPr/>
          <w:p>
            <w:pPr>
              <w:pStyle w:val="Compact"/>
            </w:pPr>
            <w:r>
              <w:t xml:space="preserve">3</w:t>
            </w:r>
          </w:p>
        </w:tc>
        <w:tc>
          <w:tcPr/>
          <w:p>
            <w:pPr>
              <w:pStyle w:val="Compact"/>
            </w:pPr>
            <w:r>
              <w:t xml:space="preserve">5b</w:t>
            </w:r>
          </w:p>
        </w:tc>
        <w:tc>
          <w:tcPr/>
          <w:p>
            <w:pPr>
              <w:pStyle w:val="Compact"/>
            </w:pPr>
            <w:r>
              <w:t xml:space="preserve">The Declaration: He Shall Never Be Moved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access to God requires the integrity that only grace can produce.</w:t>
      </w:r>
    </w:p>
    <w:p>
      <w:pPr>
        <w:pStyle w:val="BodyText"/>
      </w:pPr>
      <w:r>
        <w:rPr>
          <w:b/>
          <w:bCs/>
        </w:rPr>
        <w:t xml:space="preserve">Primary Claim:</w:t>
      </w:r>
      <w:r>
        <w:t xml:space="preserve"> </w:t>
      </w:r>
      <w:r>
        <w:t xml:space="preserve">God confronts His people with the moral portrait of those who dwell with Him — not to offer a self-justification ladder, but to press them toward holy self-examination, to expose the gap that only Christ closes, and to call them to the integrity that genuine covenant life produces.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w:t>
      </w:r>
      <w:r>
        <w:rPr>
          <w:b/>
          <w:bCs/>
        </w:rPr>
        <w:t xml:space="preserve"> </w:t>
      </w:r>
      <w:r>
        <w:rPr>
          <w:b/>
          <w:bCs/>
        </w:rPr>
        <w:t xml:space="preserve">“access to God”</w:t>
      </w:r>
      <w:r>
        <w:rPr>
          <w:b/>
          <w:bCs/>
        </w:rPr>
        <w:t xml:space="preserve"> </w:t>
      </w:r>
      <w:r>
        <w:rPr>
          <w:b/>
          <w:bCs/>
        </w:rPr>
        <w:t xml:space="preserve">actually costs.</w:t>
      </w:r>
      <w:r>
        <w:t xml:space="preserve"> </w:t>
      </w:r>
      <w:r>
        <w:t xml:space="preserve">Most of us carry a functional assumption that our standing before God is somewhere between</w:t>
      </w:r>
      <w:r>
        <w:t xml:space="preserve"> </w:t>
      </w:r>
      <w:r>
        <w:t xml:space="preserve">“pretty solid”</w:t>
      </w:r>
      <w:r>
        <w:t xml:space="preserve"> </w:t>
      </w:r>
      <w:r>
        <w:t xml:space="preserve">and</w:t>
      </w:r>
      <w:r>
        <w:t xml:space="preserve"> </w:t>
      </w:r>
      <w:r>
        <w:t xml:space="preserve">“good enough.”</w:t>
      </w:r>
      <w:r>
        <w:t xml:space="preserve"> </w:t>
      </w:r>
      <w:r>
        <w:t xml:space="preserve">Psalm 15 disrupts that assumption. The portrait described here — blameless walking, truth from the heart, no slander, no exploitation, oaths kept even when costly — is not a modest standard. If you read this psalm honestly, the question</w:t>
      </w:r>
      <w:r>
        <w:t xml:space="preserve"> </w:t>
      </w:r>
      <w:r>
        <w:t xml:space="preserve">“Who may dwell on Your holy mountain?”</w:t>
      </w:r>
      <w:r>
        <w:t xml:space="preserve"> </w:t>
      </w:r>
      <w:r>
        <w:t xml:space="preserve">bounces back to you:</w:t>
      </w:r>
      <w:r>
        <w:t xml:space="preserve"> </w:t>
      </w:r>
      <w:r>
        <w:rPr>
          <w:i/>
          <w:iCs/>
        </w:rPr>
        <w:t xml:space="preserve">Can I actually say this is me?</w:t>
      </w:r>
      <w:r>
        <w:t xml:space="preserve"> </w:t>
      </w:r>
      <w:r>
        <w:t xml:space="preserve">The intent is not despair but honest reckoning. Intellectual honesty with this psalm requires revising the self-assessment downward and the estimation of Christ’s mediating work upward.</w:t>
      </w:r>
    </w:p>
    <w:p>
      <w:pPr>
        <w:pStyle w:val="BodyText"/>
      </w:pPr>
      <w:r>
        <w:t xml:space="preserve">**2.</w:t>
      </w:r>
      <w:r>
        <w:t xml:space="preserve"> </w:t>
      </w:r>
      <w:r>
        <w:rPr>
          <w:i/>
          <w:iCs/>
        </w:rPr>
        <w:t xml:space="preserve">(Mind/Belief)</w:t>
      </w:r>
      <w:r>
        <w:t xml:space="preserve"> </w:t>
      </w:r>
      <w:r>
        <w:t xml:space="preserve">See Christ in this portrait before you see yourself.*</w:t>
      </w:r>
      <w:r>
        <w:t xml:space="preserve"> </w:t>
      </w:r>
      <w:r>
        <w:t xml:space="preserve">Before you read Psalm 15 as a description of who you must become, read it as a description of who Jesus is. He is the One who walked blamelessly. He is the One who swore to His own hurt — pledging covenant loyalty at the cost of the cross — and did not change. He is the One who never slandered, never exploited, never bribed, never wavered. The portrait that convicts you is a portrait that has already been perfectly filled by your Substitute. You approach the holy mountain not on the strength of your own integrity but on the strength of His. Let that land before the applications come.</w:t>
      </w:r>
    </w:p>
    <w:p>
      <w:pPr>
        <w:pStyle w:val="BodyText"/>
      </w:pPr>
      <w:r>
        <w:t xml:space="preserve">**3.</w:t>
      </w:r>
      <w:r>
        <w:t xml:space="preserve"> </w:t>
      </w:r>
      <w:r>
        <w:rPr>
          <w:i/>
          <w:iCs/>
        </w:rPr>
        <w:t xml:space="preserve">(Affections/Worship)</w:t>
      </w:r>
      <w:r>
        <w:t xml:space="preserve"> </w:t>
      </w:r>
      <w:r>
        <w:t xml:space="preserve">Cultivate a renewed sense of the holiness of God’s presence.*</w:t>
      </w:r>
      <w:r>
        <w:t xml:space="preserve"> </w:t>
      </w:r>
      <w:r>
        <w:t xml:space="preserve">The psalm assumes that access to God’s dwelling is a serious, weighty, glorious thing — not casual, not assumed, not merely a routine religious transaction. Much contemporary Christian experience has lost this. We approach worship comfortably, habitually, without the sense that we are drawing near to a holy God who is not impressed by our social performance but looks at the heart. Let the entrance-question of Psalm 15 restore a reverence for what it means to meet with God — a reverence that makes corporate worship, personal prayer, and the reading of Scripture feel like what they are: an extraordinary act of grace allowing sinful people near a holy God.</w:t>
      </w:r>
    </w:p>
    <w:p>
      <w:pPr>
        <w:pStyle w:val="BodyText"/>
      </w:pPr>
      <w:r>
        <w:t xml:space="preserve">**4.</w:t>
      </w:r>
      <w:r>
        <w:t xml:space="preserve"> </w:t>
      </w:r>
      <w:r>
        <w:rPr>
          <w:i/>
          <w:iCs/>
        </w:rPr>
        <w:t xml:space="preserve">(Will/Behavior)</w:t>
      </w:r>
      <w:r>
        <w:t xml:space="preserve"> </w:t>
      </w:r>
      <w:r>
        <w:t xml:space="preserve">Examine one specific domain of your speech this week.*</w:t>
      </w:r>
      <w:r>
        <w:t xml:space="preserve"> </w:t>
      </w:r>
      <w:r>
        <w:t xml:space="preserve">The portrait in Psalm 15 lingers noticeably on speech: no slander, no evil against a neighbor, no reproach against a friend. The person who qualifies for covenant nearness watches their tongue with precision. This is not about never saying hard things — it is about the motive and manner. Is there someone you have spoken ill of recently in a way you would not defend before God? Is there a pattern of gossip, complaint, or social cutting-down that you have habituated and now barely notice? Identify one specific relationship or context where your speech does not match this portrait and address it — not to earn standing before God, but because you already have it in Christ and your speech should begin to show it.</w:t>
      </w:r>
    </w:p>
    <w:p>
      <w:pPr>
        <w:pStyle w:val="BodyText"/>
      </w:pPr>
      <w:r>
        <w:t xml:space="preserve">**5.</w:t>
      </w:r>
      <w:r>
        <w:t xml:space="preserve"> </w:t>
      </w:r>
      <w:r>
        <w:rPr>
          <w:i/>
          <w:iCs/>
        </w:rPr>
        <w:t xml:space="preserve">(Will/Behavior)</w:t>
      </w:r>
      <w:r>
        <w:t xml:space="preserve"> </w:t>
      </w:r>
      <w:r>
        <w:t xml:space="preserve">Make one specific financial or professional decision this month that reflects covenant integrity rather than self-interest.*</w:t>
      </w:r>
      <w:r>
        <w:t xml:space="preserve"> </w:t>
      </w:r>
      <w:r>
        <w:t xml:space="preserve">The psalm ends where exploitation typically lives: money and justice. No interest on the vulnerable. No bribe against the innocent. These are not ancient categories — they have modern equivalents. Is there a financial arrangement you are maintaining that exploits a power imbalance? A professional decision that trades someone else’s welfare for your gain? A corner cut in your work that you would not want examined? The psalm does not suggest that prosperity is wrong, but that covenant people do not build it on others’ vulnerability or on compromised justice. Identify one concrete decision in the next month where you choose covenant integrity over financial convenience, and make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15 teaches that God is radically holy — that access to His presence is not a neutral default available to all comers, but a covenantal privilege that reflects the character of the God who grants it. The portrait in the psalm is not arbitrary ethics but a description of what life shaped by the holy character of God looks like in human conduct: integrity that flows from the inside out, speech that does no violence, loyalty that does not waver, commerce that does not exploit. The closing declaration —</w:t>
      </w:r>
      <w:r>
        <w:t xml:space="preserve"> </w:t>
      </w:r>
      <w:r>
        <w:t xml:space="preserve">“he shall never be moved”</w:t>
      </w:r>
      <w:r>
        <w:t xml:space="preserve"> </w:t>
      </w:r>
      <w:r>
        <w:t xml:space="preserve">— reveals that the fruit of this integrity is not merely social stability but covenantal security: the person who is genuinely aligned with God’s character shares in God’s own permanence. This psalm presses the theological conviction that God’s holiness is not merely a liturgical category but a moral one, and that worship divorced from moral integrity is a contradiction in terms.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15 functions within Reformed theology as a powerful illustration of the inseparable connection between justification and sanctification. The entrance portrait describes what God’s covenant people look like — not as the basis of their acceptance (which is grace alone through Christ alone) but as the fruit of it. The psalm drives the reader toward Christ by exposing the gap that no sinful human being can independently close, and it simultaneously describes what the Spirit is producing in those who are united to the One who perfectly fulfilled the portrait. This is the classic Reformed both/and: the psalm is convicting Law</w:t>
      </w:r>
      <w:r>
        <w:t xml:space="preserve"> </w:t>
      </w:r>
      <w:r>
        <w:rPr>
          <w:i/>
          <w:iCs/>
        </w:rPr>
        <w:t xml:space="preserve">and</w:t>
      </w:r>
      <w:r>
        <w:t xml:space="preserve"> </w:t>
      </w:r>
      <w:r>
        <w:t xml:space="preserve">sanctification description — not Law alone (which collapses into moralism or despair) and not mere aspiration (which collapses into sentimentality). The covenant stability promised in verse 5b is the believer’s stability in Christ — not earned by performance but inhabited by those whose lives are being genuinely conformed to His.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in the business of casual access. The portrait in Psalm 15 is not flattering to any of us — it is convicting precisely because it is meant to be. But the same God who poses the entrance question has provided the One who answers it perfectly, and through union with Him, has begun producing in His people the very integrity the question demands. You are not left outside. You are not left unchanged. Come near — soberly, gratefully, and with your whole life beginning to show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virtue checklist.</w:t>
      </w:r>
      <w:r>
        <w:t xml:space="preserve"> </w:t>
      </w:r>
      <w:r>
        <w:t xml:space="preserve">The most common error is treating Psalm 15 as a simple moral inventory —</w:t>
      </w:r>
      <w:r>
        <w:t xml:space="preserve"> </w:t>
      </w:r>
      <w:r>
        <w:t xml:space="preserve">“here are eleven things to do; work on them.”</w:t>
      </w:r>
      <w:r>
        <w:t xml:space="preserve"> </w:t>
      </w:r>
      <w:r>
        <w:t xml:space="preserve">This misses the entrance-liturgy function entirely. The psalm is a mirror before it is a manual. Preachers who move immediately to application (</w:t>
      </w:r>
      <w:r>
        <w:t xml:space="preserve">“Here’s how to be a person of integrity”</w:t>
      </w:r>
      <w:r>
        <w:t xml:space="preserve">) without first allowing the portrait to convict will produce moralistic sermons that generate self-improvement projects rather than gospel need.</w:t>
      </w:r>
    </w:p>
    <w:p>
      <w:pPr>
        <w:numPr>
          <w:ilvl w:val="0"/>
          <w:numId w:val="1002"/>
        </w:numPr>
      </w:pPr>
      <w:r>
        <w:rPr>
          <w:b/>
          <w:bCs/>
        </w:rPr>
        <w:t xml:space="preserve">Preaching the psalm without Christ.</w:t>
      </w:r>
      <w:r>
        <w:t xml:space="preserve"> </w:t>
      </w:r>
      <w:r>
        <w:t xml:space="preserve">A Psalm 15 exposition that concludes with moral exhortation and never names the One who alone perfectly satisfies the entrance question has left the work half done. The portrait must land first as description of Christ — who He is for us — before it lands as aspiration for us. Christless Old Testament exposition of this psalm produces either pride (</w:t>
      </w:r>
      <w:r>
        <w:t xml:space="preserve">“I mostly do this”</w:t>
      </w:r>
      <w:r>
        <w:t xml:space="preserve">) or despair (</w:t>
      </w:r>
      <w:r>
        <w:t xml:space="preserve">“I clearly don’t”</w:t>
      </w:r>
      <w:r>
        <w:t xml:space="preserve">) rather than the proper movement: conviction, then Christ, then renewed commitment.</w:t>
      </w:r>
    </w:p>
    <w:p>
      <w:pPr>
        <w:numPr>
          <w:ilvl w:val="0"/>
          <w:numId w:val="1002"/>
        </w:numPr>
      </w:pPr>
      <w:r>
        <w:rPr>
          <w:b/>
          <w:bCs/>
        </w:rPr>
        <w:t xml:space="preserve">Softening the holiness standard to make the application achievable.</w:t>
      </w:r>
      <w:r>
        <w:t xml:space="preserve"> </w:t>
      </w:r>
      <w:r>
        <w:t xml:space="preserve">Because the portrait in Psalm 15 is genuinely demanding, there is a temptation to qualify it into accessibility:</w:t>
      </w:r>
      <w:r>
        <w:t xml:space="preserve"> </w:t>
      </w:r>
      <w:r>
        <w:t xml:space="preserve">“Well, nobody’s perfect, but here are some reasonable areas to work on.”</w:t>
      </w:r>
      <w:r>
        <w:t xml:space="preserve"> </w:t>
      </w:r>
      <w:r>
        <w:t xml:space="preserve">This evacuates the psalm’s convicting power. The standard is not meant to feel achievable on first reading — it is meant to raise the question of who actually qualifies. Let it do that work before offering gospel relief.</w:t>
      </w:r>
    </w:p>
    <w:p>
      <w:pPr>
        <w:numPr>
          <w:ilvl w:val="0"/>
          <w:numId w:val="1002"/>
        </w:numPr>
      </w:pPr>
      <w:r>
        <w:rPr>
          <w:b/>
          <w:bCs/>
        </w:rPr>
        <w:t xml:space="preserve">Ignoring the speech and economic applications as dated or minor.</w:t>
      </w:r>
      <w:r>
        <w:t xml:space="preserve"> </w:t>
      </w:r>
      <w:r>
        <w:t xml:space="preserve">Slander, usury, and bribery can sound like ancient categories. Preachers may rush past them to focus on the more general virtues of verses 2-3. But the psalm’s specificity here is intentional — these are exactly the domains where covenantal integrity most visibly breaks down. The economic and speech applications in this psalm are not footnotes; they are the most concrete diagnostic sections of the portrait and deserve proportionate attention.</w:t>
      </w:r>
    </w:p>
    <w:p>
      <w:pPr>
        <w:numPr>
          <w:ilvl w:val="0"/>
          <w:numId w:val="1002"/>
        </w:numPr>
      </w:pPr>
      <w:r>
        <w:rPr>
          <w:b/>
          <w:bCs/>
        </w:rPr>
        <w:t xml:space="preserve">Preaching only the convicting dimension without the covenantal stability of verse 5b.</w:t>
      </w:r>
      <w:r>
        <w:t xml:space="preserve"> </w:t>
      </w:r>
      <w:r>
        <w:t xml:space="preserve">The psalm closes with a declaration of permanence that is not merely a moral reward (</w:t>
      </w:r>
      <w:r>
        <w:t xml:space="preserve">“behave well and things will go well”</w:t>
      </w:r>
      <w:r>
        <w:t xml:space="preserve">) but a covenantal promise.</w:t>
      </w:r>
      <w:r>
        <w:t xml:space="preserve"> </w:t>
      </w:r>
      <w:r>
        <w:t xml:space="preserve">“He shall never be moved”</w:t>
      </w:r>
      <w:r>
        <w:t xml:space="preserve"> </w:t>
      </w:r>
      <w:r>
        <w:t xml:space="preserve">reflects the stability of the covenant itself, ultimately grounded in Christ’s unshakeable standing before God. Sermons that end on the demands of verses 2-5a without landing on this closing declaration will leave hearers under burden rather than under promise.</w:t>
      </w:r>
    </w:p>
    <w:p>
      <w:pPr>
        <w:numPr>
          <w:ilvl w:val="0"/>
          <w:numId w:val="1002"/>
        </w:numPr>
      </w:pPr>
      <w:r>
        <w:rPr>
          <w:b/>
          <w:bCs/>
        </w:rPr>
        <w:t xml:space="preserve">Failing to apply the psalm communally.</w:t>
      </w:r>
      <w:r>
        <w:t xml:space="preserve"> </w:t>
      </w:r>
      <w:r>
        <w:t xml:space="preserve">The entrance liturgy context suggests this was addressed to a community of worshippers, not merely individuals. The portrait describes what the covenant community looks like in its life together — the neighbor, the friend, the economic relationships, the treatment of the vulnerable. Application that remains entirely individualistic misses the communal dimension: churches, small groups, and covenant communities are called to embody this portrait together, not merely as a collection of individually virtuous people.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2026-07-14T21:04:33Z</dcterms:created>
  <dcterms:modified xsi:type="dcterms:W3CDTF">2026-07-14T21:04:33Z</dcterms:modified>
</cp:coreProperties>
</file>

<file path=docProps/custom.xml><?xml version="1.0" encoding="utf-8"?>
<Properties xmlns="http://schemas.openxmlformats.org/officeDocument/2006/custom-properties" xmlns:vt="http://schemas.openxmlformats.org/officeDocument/2006/docPropsVTypes"/>
</file>